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60"/>
        <w:jc w:val="center"/>
      </w:pPr>
      <w:r>
        <w:rPr>
          <w:rFonts w:ascii="Calibri" w:cs="Calibri" w:eastAsia="Calibri" w:hAnsi="Calibri"/>
          <w:b/>
          <w:bCs/>
          <w:color w:val="1F3A5F"/>
          <w:sz w:val="34"/>
          <w:szCs w:val="34"/>
        </w:rPr>
        <w:t xml:space="preserve">РЕГИСТРАЦИЯ SPÓŁKI Z O.O. — ПОШАГОВЫЙ ГАЙД</w:t>
      </w:r>
    </w:p>
    <w:p>
      <w:pPr>
        <w:spacing w:after="60"/>
        <w:jc w:val="center"/>
      </w:pPr>
      <w:r>
        <w:rPr>
          <w:rFonts w:ascii="Calibri" w:cs="Calibri" w:eastAsia="Calibri" w:hAnsi="Calibri"/>
          <w:i/>
          <w:iCs/>
          <w:color w:val="6B7280"/>
          <w:sz w:val="22"/>
          <w:szCs w:val="22"/>
        </w:rPr>
        <w:t xml:space="preserve">от подготовки данных до первых деклараций — для предпринимателя без юридического образования · правовое состояние: июль 2026</w:t>
      </w:r>
    </w:p>
    <w:p>
      <w:pPr>
        <w:pBdr>
          <w:bottom w:val="single" w:color="00B3A4" w:sz="18"/>
        </w:pBdr>
        <w:spacing w:after="200"/>
      </w:pP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Гайд ведёт через весь процесс в трёх частях: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ЧАСТЬ I</w:t>
      </w:r>
      <w:r>
        <w:rPr>
          <w:rFonts w:ascii="Calibri" w:cs="Calibri" w:eastAsia="Calibri" w:hAnsi="Calibri"/>
          <w:sz w:val="21"/>
          <w:szCs w:val="21"/>
        </w:rPr>
        <w:t xml:space="preserve"> — подготовка (шаги 1–4),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ЧАСТЬ II</w:t>
      </w:r>
      <w:r>
        <w:rPr>
          <w:rFonts w:ascii="Calibri" w:cs="Calibri" w:eastAsia="Calibri" w:hAnsi="Calibri"/>
          <w:sz w:val="21"/>
          <w:szCs w:val="21"/>
        </w:rPr>
        <w:t xml:space="preserve"> — регистрация в S24 (шаги 5–8),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ЧАСТЬ III</w:t>
      </w:r>
      <w:r>
        <w:rPr>
          <w:rFonts w:ascii="Calibri" w:cs="Calibri" w:eastAsia="Calibri" w:hAnsi="Calibri"/>
          <w:sz w:val="21"/>
          <w:szCs w:val="21"/>
        </w:rPr>
        <w:t xml:space="preserve"> — обязанности после регистрации (шаги 9–20). Для каждого шага: что сделать, кто делает, срок, когда применяется и типичные ошибки. В конце — сводная таблица сроков.</w:t>
      </w: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ЧАСТЬ I — ПОДГОТОВКА (до входа в S24)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1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Определите параметры компании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Установите: название (уникальное + «sp. z o.o.»), местонахождение (в договоре — только город; полный адрес — в заявлении), размер уставного капитала (мин. 5 000 zł, доля мин. 50 zł), распределение долей между участниками, состав правления, способ представительства и коды PKD (1 основной + макс. 9 дополнительных в S24).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Участники совместно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До начала регистрации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Ошибки: </w:t>
      </w:r>
      <w:r>
        <w:rPr>
          <w:rFonts w:ascii="Calibri" w:cs="Calibri" w:eastAsia="Calibri" w:hAnsi="Calibri"/>
          <w:sz w:val="20"/>
          <w:szCs w:val="20"/>
        </w:rPr>
        <w:t xml:space="preserve">название занято или обманчиво похоже на существующее; основной код PKD не соответствует планируемой деятельности; не решён способ представительства при правлении из нескольких человек.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2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Обеспечьте правовой титул на адрес местонахождения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Подпишите договор аренды, безвозмездного пользования либо договор с оператором виртуального офиса. Регистрационный суд при S24 обычно этот документ не требует, но налоговая проверяет реальность адреса при регистрации VAT — отсутствие правового титула на помещение является самой частой причиной отказа в регистрации VAT-R.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Участники / будущее правление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До заключения договора компании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Ошибки: </w:t>
      </w:r>
      <w:r>
        <w:rPr>
          <w:rFonts w:ascii="Calibri" w:cs="Calibri" w:eastAsia="Calibri" w:hAnsi="Calibri"/>
          <w:sz w:val="20"/>
          <w:szCs w:val="20"/>
        </w:rPr>
        <w:t xml:space="preserve">адрес «по знакомству» без договора; оператор виртуального офиса без справки о праве пользования адресом; адрес в KRS отличается от адреса в договоре аренды.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3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Оформите электронные подписи ВСЕМ подписывающим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Каждый участник и каждый член правления, который будет что-либо подписывать, должен иметь: (а) аккаунт на портале S24 и (б) одну из подписей: Profil Zaufany (бесплатно, pz.gov.pl — нужен PESEL, оформляется через интернет-банк примерно за 10 минут), квалифицированную электронную подпись (платно, ок. 200–350 zł/год — единственный вариант для иностранца без номера PESEL) либо подпись e-dowód.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Каждый подписывающий лично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Заранее — выпуск квалифицированной подписи может потребовать несколько дней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Ошибки: </w:t>
      </w:r>
      <w:r>
        <w:rPr>
          <w:rFonts w:ascii="Calibri" w:cs="Calibri" w:eastAsia="Calibri" w:hAnsi="Calibri"/>
          <w:sz w:val="20"/>
          <w:szCs w:val="20"/>
        </w:rPr>
        <w:t xml:space="preserve">в день регистрации выясняется, что у второго участника нет аккаунта в S24; расчёт на то, что иностранец «подпишет сканом» — собственноручной подписи в S24 не существует; просроченный Profil Zaufany (действует 3 года).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4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Подготовьте внешние документы и соберите данные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Используйте документ 7 (чек-лист): персональные данные участников и правления, PESEL/паспорта, адреса, структура долей, PKD. Заранее заполните документы 1, 2, 3 и 4 из настоящего пакета — это единственные документы, которые готовятся файлом ДО входа в S24; вы загрузите их как приложения на этапе заявления. Договор компании, список участников и заявление о капитале ОТДЕЛЬНО не готовятся — их вы заполните внутри системы на шаге 6.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Лицо, ведущее регистрацию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До входа в S24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ЧАСТЬ II — РЕГИСТРАЦИЯ В СИСТЕМЕ S24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5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Создайте аккаунт и «предприятие» в S24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Зайдите на s24.ms.gov.pl, авторизуйтесь (Profil Zaufany / e-dowód / квалифицированная подпись), нажмите «Dodaj przedsiębiorstwo», выберите форму «spółka z o.o.» и укажите название и местонахождение (только город — полный адрес впишете позже в заявлении). Функцией «Udostępnij» дайте доступ к делу остальным подписывающим (второму участнику!) — у каждого должен быть свой аккаунт.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Лицо, ведущее регистрацию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6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Заполните системные документы во вкладке DOKUMENTY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Нажимайте «Nowy dokument» и последовательно заполняйте формы системы — начните с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договора компании</w:t>
      </w:r>
      <w:r>
        <w:rPr>
          <w:rFonts w:ascii="Calibri" w:cs="Calibri" w:eastAsia="Calibri" w:hAnsi="Calibri"/>
          <w:sz w:val="21"/>
          <w:szCs w:val="21"/>
        </w:rPr>
        <w:t xml:space="preserve"> (данные из него подтягиваются в остальные документы, поэтому начинать нужно именно с него): участники и доли, местонахождение, капитал, правление, способ представительства, коды PKD, отчётный год. После сохранения и подписания договора выберите из списка документов: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список участников</w:t>
      </w:r>
      <w:r>
        <w:rPr>
          <w:rFonts w:ascii="Calibri" w:cs="Calibri" w:eastAsia="Calibri" w:hAnsi="Calibri"/>
          <w:sz w:val="21"/>
          <w:szCs w:val="21"/>
        </w:rPr>
        <w:t xml:space="preserve"> — поля заполнятся автоматически данными из договора, останется указать дату и подписать;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заявление о внесении капитала</w:t>
      </w:r>
      <w:r>
        <w:rPr>
          <w:rFonts w:ascii="Calibri" w:cs="Calibri" w:eastAsia="Calibri" w:hAnsi="Calibri"/>
          <w:sz w:val="21"/>
          <w:szCs w:val="21"/>
        </w:rPr>
        <w:t xml:space="preserve"> — тоже генерируется автоматически, нужна только подпись;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решение об учреждении прокуры</w:t>
      </w:r>
      <w:r>
        <w:rPr>
          <w:rFonts w:ascii="Calibri" w:cs="Calibri" w:eastAsia="Calibri" w:hAnsi="Calibri"/>
          <w:sz w:val="21"/>
          <w:szCs w:val="21"/>
        </w:rPr>
        <w:t xml:space="preserve"> — если назначаете прокурента. Все эти документы вы подписываете прямо в системе (Profil Zaufany / квалифицированная подпись) — готовить их заранее в Word не нужно.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Лицо, ведущее регистрацию + подписывающие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Ограничения шаблона S24: </w:t>
      </w:r>
      <w:r>
        <w:rPr>
          <w:rFonts w:ascii="Calibri" w:cs="Calibri" w:eastAsia="Calibri" w:hAnsi="Calibri"/>
          <w:sz w:val="20"/>
          <w:szCs w:val="20"/>
        </w:rPr>
        <w:t xml:space="preserve">только денежные вклады (никаких апортов), нет привилегированных долей и нестандартных условий (vesting, drag-along и т.п.) — для этого нужен договор у нотариуса и регистрация через портал PRS (судебный сбор 500 zł + нотариальная такса).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7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Прикрепите внешние документы и соберите все подписи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На этапе создания заявления система автоматически прикрепит только договор компании и список участников — остальные системные документы (заявление о капитале, решение о прокуре) нужно прикрепить вручную кнопкой «Wybierz» рядом с заявлением. Внешние документы (согласие на назначение, заявление об адресе, список адресов участников, заявление об иностранце, при необходимости — согласие прокурента и доверенность) загружаются кнопкой «Wczytaj» — каждый отдельным PDF-файлом, подписанным электронно до загрузки либо прямо в S24 после неё.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Участники + правление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Договор и заявление лучше в один день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Ошибки: </w:t>
      </w:r>
      <w:r>
        <w:rPr>
          <w:rFonts w:ascii="Calibri" w:cs="Calibri" w:eastAsia="Calibri" w:hAnsi="Calibri"/>
          <w:sz w:val="20"/>
          <w:szCs w:val="20"/>
        </w:rPr>
        <w:t xml:space="preserve">забыли вручную прикрепить к заявлению уже подписанный во вкладке «Документы» файл (отсутствие идентификатора рядом с документом = он не прикреплён); заявление о вкладах подписано только президентом при правлении из двух человек; долгая пауза между договором и отправкой — помните, что 14-дневный срок на PCC-3 идёт от подписания договора.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8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Оплатите и отправьте заявление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Оплатите заявление в системе (ePłatności):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судебный сбор 250 zł</w:t>
      </w:r>
      <w:r>
        <w:rPr>
          <w:rFonts w:ascii="Calibri" w:cs="Calibri" w:eastAsia="Calibri" w:hAnsi="Calibri"/>
          <w:sz w:val="21"/>
          <w:szCs w:val="21"/>
        </w:rPr>
        <w:t xml:space="preserve"> + комиссия оператора ок. 5–10 zł. С 29.11.2025 г. сбора 100 zł за объявление в MSiG больше нет. После зачисления платежа подтвердите отправку. Суд должен рассмотреть заявление в течение 1 рабочего дня; на практике внесение появляется за 1–3 рабочих дня. Компания автоматически получает номера KRS, NIP и REGON — отдельные заявления на них не подаются.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 (или поверенный)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Рассмотрение: обычно 1–3 рабочих дня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Формальные недостатки: </w:t>
      </w:r>
      <w:r>
        <w:rPr>
          <w:rFonts w:ascii="Calibri" w:cs="Calibri" w:eastAsia="Calibri" w:hAnsi="Calibri"/>
          <w:sz w:val="20"/>
          <w:szCs w:val="20"/>
        </w:rPr>
        <w:t xml:space="preserve">суд вызывает на исправление в срок 7 дней — отвечайте только через систему; отсутствие реакции = возврат заявления (сбор не пропадает при повторной правильной подаче в течение 7 дней от возврата).</w:t>
      </w: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ЧАСТЬ III — ПОСЛЕ РЕГИСТРАЦИИ: обязанности и сроки</w:t>
      </w:r>
    </w:p>
    <w:tbl>
      <w:tblPr>
        <w:tblW w:type="dxa" w:w="9638"/>
        <w:tblBorders>
          <w:top w:val="single" w:color="E0A800" w:sz="4"/>
          <w:left w:val="single" w:color="E0A800" w:sz="24"/>
          <w:bottom w:val="single" w:color="E0A800" w:sz="4"/>
          <w:right w:val="single" w:color="E0A800" w:sz="4"/>
          <w:insideH w:val="none"/>
          <w:insideV w:val="none"/>
        </w:tblBorders>
        <w:tblLayout w:type="fixed"/>
      </w:tblPr>
      <w:tblGrid>
        <w:gridCol w:w="9638"/>
      </w:tblGrid>
      <w:tr>
        <w:tc>
          <w:tcPr>
            <w:tcW w:type="dxa" w:w="9638"/>
            <w:shd w:fill="FFF6E5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20"/>
                <w:szCs w:val="20"/>
              </w:rPr>
              <w:t xml:space="preserve">ВНИМАНИЕ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Внесение в KRS — это начало, а не конец формальностей. У шагов ниже есть законные сроки, и два из них (PCC-3 и CRBR) обеспечены реальными штрафами. Спланируйте первые 3 недели после регистрации с календарём в руках.</w:t>
            </w:r>
          </w:p>
        </w:tc>
      </w:tr>
    </w:tbl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9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PCC-3 — налог на договор компании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Что: </w:t>
      </w:r>
      <w:r>
        <w:rPr>
          <w:rFonts w:ascii="Calibri" w:cs="Calibri" w:eastAsia="Calibri" w:hAnsi="Calibri"/>
          <w:sz w:val="21"/>
          <w:szCs w:val="21"/>
        </w:rPr>
        <w:t xml:space="preserve">декларация PCC-3 + уплата налога 0,5%. База налогообложения: уставный капитал за вычетом судебного сбора 250 zł — при капитале 5 000 zł налог составит ок. 24 zł.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Где: </w:t>
      </w:r>
      <w:r>
        <w:rPr>
          <w:rFonts w:ascii="Calibri" w:cs="Calibri" w:eastAsia="Calibri" w:hAnsi="Calibri"/>
          <w:sz w:val="21"/>
          <w:szCs w:val="21"/>
        </w:rPr>
        <w:t xml:space="preserve">e-Urząd Skarbowy (podatki.gov.pl) либо на бумаге в налоговую по местонахождению компании.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 (налогоплательщик — компания)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14 дней от дня ЗАКЛЮЧЕНИЯ ДОГОВОРА (не от внесения в KRS!)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Ошибки: </w:t>
      </w:r>
      <w:r>
        <w:rPr>
          <w:rFonts w:ascii="Calibri" w:cs="Calibri" w:eastAsia="Calibri" w:hAnsi="Calibri"/>
          <w:sz w:val="20"/>
          <w:szCs w:val="20"/>
        </w:rPr>
        <w:t xml:space="preserve">отсчёт срока от даты регистрации вместо даты подписания договора; убеждение, что регистрация через S24 «освобождена от PCC» — это неправда, освобождения по art. 9 pkt 11 закона о PCC касаются других ситуаций (напр., преобразований); при просрочке — пени и налогово-уголовная ответственность.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10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CRBR — регистрация бенефициарных владельцев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Что: </w:t>
      </w:r>
      <w:r>
        <w:rPr>
          <w:rFonts w:ascii="Calibri" w:cs="Calibri" w:eastAsia="Calibri" w:hAnsi="Calibri"/>
          <w:sz w:val="21"/>
          <w:szCs w:val="21"/>
        </w:rPr>
        <w:t xml:space="preserve">заявление на crbr.podatki.gov.pl обо всех бенефициарных владельцах. Бенефициар — каждый участник, владеющий более 25% долей или голосов, а также лица, контролирующие компанию иным способом; и только если никого установить нельзя — члены правления. При структуре 50/50 регистрируются ОБА участника, независимо от того, кто входит в правление.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Кто подписывает: </w:t>
      </w:r>
      <w:r>
        <w:rPr>
          <w:rFonts w:ascii="Calibri" w:cs="Calibri" w:eastAsia="Calibri" w:hAnsi="Calibri"/>
          <w:sz w:val="21"/>
          <w:szCs w:val="21"/>
        </w:rPr>
        <w:t xml:space="preserve">член правления лично (Profil Zaufany или квалифицированная подпись) — передать это бухгалтерии нельзя; бюро может лишь помочь заполнить форму.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Член правления лично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14 РАБОЧИХ дней от внесения в KRS; каждое изменение данных — 14 дней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Санкция: </w:t>
      </w:r>
      <w:r>
        <w:rPr>
          <w:rFonts w:ascii="Calibri" w:cs="Calibri" w:eastAsia="Calibri" w:hAnsi="Calibri"/>
          <w:sz w:val="20"/>
          <w:szCs w:val="20"/>
        </w:rPr>
        <w:t xml:space="preserve">денежный штраф до 1 000 000 zł за неподачу в срок или данные, не соответствующие действительности. Подача бесплатна, реестр публичный.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11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e-Doręczenia — адрес электронных доставок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Компании, вносимые в KRS, обязаны иметь адрес электронных доставок (ADE), внесённый в базу электронных адресов. Заявление о создании адреса подаётся при регистрации (форма S24/PRS позволяет сразу) либо незамедлительно после неё — через biznes.gov.pl. После активации ящика госорганы доставляют письма электронно с эффектом заказного письма, поэтому ящик нужно регулярно проверять и назначить его администратора.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Правление; администратором ящика может быть член правления или уполномоченное лицо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При регистрации / незамедлительно после внесения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Ошибки: </w:t>
      </w:r>
      <w:r>
        <w:rPr>
          <w:rFonts w:ascii="Calibri" w:cs="Calibri" w:eastAsia="Calibri" w:hAnsi="Calibri"/>
          <w:sz w:val="20"/>
          <w:szCs w:val="20"/>
        </w:rPr>
        <w:t xml:space="preserve">неактивированный ящик (одного заявления мало — нужно завершить активацию); ящик никто не проверяет, а сроки по доставленным письмам идут.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12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Банковский счёт + уставный капитал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Подайте заявку на корпоративный банковский счёт как можно скорее после внесения в реестр (документы: выписка KRS, договор компании, данные правления).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Реалистично закладывайте задержку: </w:t>
      </w:r>
      <w:r>
        <w:rPr>
          <w:rFonts w:ascii="Calibri" w:cs="Calibri" w:eastAsia="Calibri" w:hAnsi="Calibri"/>
          <w:sz w:val="21"/>
          <w:szCs w:val="21"/>
        </w:rPr>
        <w:t xml:space="preserve">часть банков, особенно при участниках или членах правления не из ЕС (например, гражданах Беларуси), проводит удлинённую AML-проверку и может открывать счёт 2 недели и дольше, а иногда отказывает без объяснения причин — стоит подать заявки в 2–3 банка параллельно и заранее подготовить полный комплект документов (включая происхождение капитала).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Без жёсткого законного срока — чем быстрее, тем лучше (счёт нужен для NIP-8 и VAT-R)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Как внести капитал: </w:t>
      </w:r>
      <w:r>
        <w:rPr>
          <w:rFonts w:ascii="Calibri" w:cs="Calibri" w:eastAsia="Calibri" w:hAnsi="Calibri"/>
          <w:sz w:val="21"/>
          <w:szCs w:val="21"/>
        </w:rPr>
        <w:t xml:space="preserve">денежный вклад можно перевести на счёт «в организации» / личный счёт участника, но можно и внести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наличными</w:t>
      </w:r>
      <w:r>
        <w:rPr>
          <w:rFonts w:ascii="Calibri" w:cs="Calibri" w:eastAsia="Calibri" w:hAnsi="Calibri"/>
          <w:sz w:val="21"/>
          <w:szCs w:val="21"/>
        </w:rPr>
        <w:t xml:space="preserve"> — закон это не запрещает. При наличной оплате составьте короткое письменное подтверждение (заявление о внесении наличными) — без него правлению нечем документально подтвердить перед судом и бухгалтерией, что капитал действительно поступил. В итоге средства всё равно нужно перевести на корпоративный счёт после его открытия — это в первую очередь бухгалтерский вопрос (капитал должен отражаться в балансе), а не жёсткий судебный срок.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О сроке 7 дней: </w:t>
      </w:r>
      <w:r>
        <w:rPr>
          <w:rFonts w:ascii="Calibri" w:cs="Calibri" w:eastAsia="Calibri" w:hAnsi="Calibri"/>
          <w:sz w:val="20"/>
          <w:szCs w:val="20"/>
        </w:rPr>
        <w:t xml:space="preserve">он касается ИСКЛЮЧИТЕЛЬНО ситуации, когда в S24 выбран вариант покрытия капитала ПОСЛЕ регистрации (вариант Б) — тогда действительно нужно внести вклады и подать заявление правления в суд в течение 7 дней от внесения в реестр. Если вклады были внесены и подтверждены ещё ДО подачи заявления (вариант А, рекомендуемый), этот срок вообще не применяется — открытие банковского счёта можно спокойно завершить в том темпе, который позволит банк.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Ошибки: </w:t>
      </w:r>
      <w:r>
        <w:rPr>
          <w:rFonts w:ascii="Calibri" w:cs="Calibri" w:eastAsia="Calibri" w:hAnsi="Calibri"/>
          <w:sz w:val="20"/>
          <w:szCs w:val="20"/>
        </w:rPr>
        <w:t xml:space="preserve">откладывание подачи заявки на счёт «на потом», хотя на практике нужно закладывать долгое ожидание; отсутствие письменного подтверждения наличной оплаты; «одалживание» капитала обратно участнику без правового основания.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13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NIP-8 — дополнительные данные в налоговую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Сообщите данные, которых нет в KRS: номер банковского счёта, место хранения бухгалтерской документации (адрес бухгалтерского бюро), предполагаемое число работников, детали деятельности. Подаётся электронно (e-Urząd Skarbowy) или на бумаге.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Какой срок действует: </w:t>
      </w:r>
      <w:r>
        <w:rPr>
          <w:rFonts w:ascii="Calibri" w:cs="Calibri" w:eastAsia="Calibri" w:hAnsi="Calibri"/>
          <w:sz w:val="21"/>
          <w:szCs w:val="21"/>
        </w:rPr>
        <w:t xml:space="preserve">базовый срок —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21 день от внесения в KRS</w:t>
      </w:r>
      <w:r>
        <w:rPr>
          <w:rFonts w:ascii="Calibri" w:cs="Calibri" w:eastAsia="Calibri" w:hAnsi="Calibri"/>
          <w:sz w:val="21"/>
          <w:szCs w:val="21"/>
        </w:rPr>
        <w:t xml:space="preserve">. Более короткий срок —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7 дней от внесения в KRS</w:t>
      </w:r>
      <w:r>
        <w:rPr>
          <w:rFonts w:ascii="Calibri" w:cs="Calibri" w:eastAsia="Calibri" w:hAnsi="Calibri"/>
          <w:sz w:val="21"/>
          <w:szCs w:val="21"/>
        </w:rPr>
        <w:t xml:space="preserve"> — касается исключительно ситуации, когда компания становится плательщиком взносов ZUS, то есть должна кого-то зарегистрировать на страхование: как правило, единственного участника одноучастниковой sp. z o.o. (он подлежит ZUS как предприниматель) либо первого работника. ZUS нужны эти данные быстрее, чтобы открыть счёт плательщика взносов. Если компания на старте никого не регистрирует в ZUS (например, компания с несколькими участниками без сотрудников, где сами участники не подлежат страхованию только в силу участия), действует обычный срок 21 день.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 / бухгалтерия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21 день от внесения — либо 7 дней, если компания сразу становится плательщиком взносов ZUS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Эффект NIP-8: </w:t>
      </w:r>
      <w:r>
        <w:rPr>
          <w:rFonts w:ascii="Calibri" w:cs="Calibri" w:eastAsia="Calibri" w:hAnsi="Calibri"/>
          <w:sz w:val="20"/>
          <w:szCs w:val="20"/>
        </w:rPr>
        <w:t xml:space="preserve">заявленный счёт попадает в «белый список» плательщиков VAT (реестр на podatki.gov.pl). Контрагенты, платящие свыше 15 000 zł на счёт вне белого списка, теряют налоговые расходы и рискуют солидарной ответственностью — поэтому без NIP-8 серьёзные контрагенты не захотят вам платить.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14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VAT-R — регистрация по VAT (если применимо)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Когда нужно: </w:t>
      </w:r>
      <w:r>
        <w:rPr>
          <w:rFonts w:ascii="Calibri" w:cs="Calibri" w:eastAsia="Calibri" w:hAnsi="Calibri"/>
          <w:sz w:val="21"/>
          <w:szCs w:val="21"/>
        </w:rPr>
        <w:t xml:space="preserve">если компания хочет или обязана быть активным плательщиком VAT. Субъектное освобождение действует до лимита продаж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240 000 zł в год</w:t>
      </w:r>
      <w:r>
        <w:rPr>
          <w:rFonts w:ascii="Calibri" w:cs="Calibri" w:eastAsia="Calibri" w:hAnsi="Calibri"/>
          <w:sz w:val="21"/>
          <w:szCs w:val="21"/>
        </w:rPr>
        <w:t xml:space="preserve"> (лимит повышен с 1.01.2026; в первый год считается пропорционально числу дней деятельности). Часть видов деятельности исключена из освобождения независимо от оборота (в т.ч. консалтинг, юридические услуги, некоторые товары). Для внутрисоюзных операций зарегистрируйте также NIP-UE (та же декларация VAT-R).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 / бухгалтерия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До дня первой облагаемой операции — регистрация занимает от нескольких дней до нескольких недель (налоговая может проверять адрес)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Если компания будет плательщиком VAT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Ошибки: </w:t>
      </w:r>
      <w:r>
        <w:rPr>
          <w:rFonts w:ascii="Calibri" w:cs="Calibri" w:eastAsia="Calibri" w:hAnsi="Calibri"/>
          <w:sz w:val="20"/>
          <w:szCs w:val="20"/>
        </w:rPr>
        <w:t xml:space="preserve">подача VAT-R «в последний момент» перед первой фактурой; отсутствие договора аренды при проверке адреса; неосознанное ведение деятельности, исключённой из освобождения.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15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KSeF — национальная система э-фактур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С 2026 года структурированные фактуры в KSeF обязательны: с 1 февраля 2026 — для плательщиков с продажами свыше 200 млн zł (за 2024 г.),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с 1 апреля 2026 — для остальных предпринимателей</w:t>
      </w:r>
      <w:r>
        <w:rPr>
          <w:rFonts w:ascii="Calibri" w:cs="Calibri" w:eastAsia="Calibri" w:hAnsi="Calibri"/>
          <w:sz w:val="21"/>
          <w:szCs w:val="21"/>
        </w:rPr>
        <w:t xml:space="preserve">, то есть и для новой компании. Переходно самые малые плательщики (продажи до 10 000 zł в месяц) могут выставлять фактуры вне KSeF до конца 2026 г.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Как получить первый доступ — ZAW-FA: </w:t>
      </w:r>
      <w:r>
        <w:rPr>
          <w:rFonts w:ascii="Calibri" w:cs="Calibri" w:eastAsia="Calibri" w:hAnsi="Calibri"/>
          <w:sz w:val="21"/>
          <w:szCs w:val="21"/>
        </w:rPr>
        <w:t xml:space="preserve">новая компания обычно ЕЩЁ НЕ имеет квалифицированной электронной печати, привязанной к NIP, поэтому не может сама себе назначить права в системе KSeF. В такой ситуации нужно подать в налоговую форму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ZAW-FA</w:t>
      </w:r>
      <w:r>
        <w:rPr>
          <w:rFonts w:ascii="Calibri" w:cs="Calibri" w:eastAsia="Calibri" w:hAnsi="Calibri"/>
          <w:sz w:val="21"/>
          <w:szCs w:val="21"/>
        </w:rPr>
        <w:t xml:space="preserve"> (заявление о предоставлении полномочий) — она указывает ОДНОГО человека (обычно члена правления) как так называемого суперадминистратора счёта компании в KSeF. Заявление подписывают лица, уполномоченные представлять компанию, и подаётся оно электронно через e-Urząd Skarbowy либо e-Doręczenia (с 1.01.2026 подача через ePUAP уже не действительна) либо на бумаге. После проверки налоговой (обычно несколько рабочих дней) указанный человек входит в KSeF и уже ОТТУДА выдаёт дальнейшие права — в том числе доступ бухгалтерскому бюро, чтобы оно могло выставлять или просматривать фактуры от вашего имени. Если у компании есть квалифицированная электронная печать с NIP, можно пропустить ZAW-FA и выдать права прямо в системе.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 (ZAW-FA) + бухгалтерия (доступ к фактурированию)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Подайте ZAW-FA заранее, до первой фактуры — проверка в налоговой занимает несколько рабочих дней, в I квартале 2026 г. возможны задержки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Все, кто выставляет фактуры (с переходным исключением для самых малых)</w:t>
            </w:r>
          </w:p>
        </w:tc>
      </w:tr>
    </w:tbl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16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ZUS — социальное страхование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Одноучастниковая sp. z o.o.: </w:t>
      </w:r>
      <w:r>
        <w:rPr>
          <w:rFonts w:ascii="Calibri" w:cs="Calibri" w:eastAsia="Calibri" w:hAnsi="Calibri"/>
          <w:sz w:val="21"/>
          <w:szCs w:val="21"/>
        </w:rPr>
        <w:t xml:space="preserve">единственный участник страхуется как предприниматель — заявление ZUS ZUA (полные взносы) либо ZZA (только медицинская, при совпадении оснований) в срок 7 дней от возникновения обязанности (от внесения компании).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Два и более участника: </w:t>
      </w:r>
      <w:r>
        <w:rPr>
          <w:rFonts w:ascii="Calibri" w:cs="Calibri" w:eastAsia="Calibri" w:hAnsi="Calibri"/>
          <w:sz w:val="21"/>
          <w:szCs w:val="21"/>
        </w:rPr>
        <w:t xml:space="preserve">само участие в компании взносов ZUS не порождает (осторожно с фиктивными структурами типа 99%/1% — ZUS и суды могут признать «почти единственного» участника единственным).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Работники: </w:t>
      </w:r>
      <w:r>
        <w:rPr>
          <w:rFonts w:ascii="Calibri" w:cs="Calibri" w:eastAsia="Calibri" w:hAnsi="Calibri"/>
          <w:sz w:val="21"/>
          <w:szCs w:val="21"/>
        </w:rPr>
        <w:t xml:space="preserve">заявление ZUS ZUA в срок 7 дней от дня начала работы; до этого — предварительный медосмотр и обучение BHP.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Правление с вознаграждением по назначению (powołanie): </w:t>
      </w:r>
      <w:r>
        <w:rPr>
          <w:rFonts w:ascii="Calibri" w:cs="Calibri" w:eastAsia="Calibri" w:hAnsi="Calibri"/>
          <w:sz w:val="21"/>
          <w:szCs w:val="21"/>
        </w:rPr>
        <w:t xml:space="preserve">с вознаграждения по решению платятся PIT и медицинский взнос 9% (без социальных взносов).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Компания как плательщик / участник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 дней от возникновения основания для страхования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Зависит от структуры</w:t>
            </w:r>
          </w:p>
        </w:tc>
      </w:tr>
    </w:tbl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17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Бухгалтерия — полные книги с первого дня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Sp. z o.o. по закону обязана вести полный бухгалтерский учёт со дня начала деятельности. Незамедлительно: подпишите договор с бухгалтерским бюро, примите учётную политику (документ правления, формально обязателен), передайте бухгалтерии договор компании, выписку KRS, номер счёта и документы расходов с первого дня. Адрес хранения документации укажите в NIP-8. Хорошей практикой также будет составить краткое подтверждение участника о фактическом внесении вклада (наличными или переводом) — это внутренний документ для бухгалтерии, не для KRS, но он упрощает отражение капитала в балансе; спросите нас про образец.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Незамедлительно после внесения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18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CIT и первые расчёты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Компания — плательщик CIT: ставка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9%</w:t>
      </w:r>
      <w:r>
        <w:rPr>
          <w:rFonts w:ascii="Calibri" w:cs="Calibri" w:eastAsia="Calibri" w:hAnsi="Calibri"/>
          <w:sz w:val="21"/>
          <w:szCs w:val="21"/>
        </w:rPr>
        <w:t xml:space="preserve"> (малый плательщик — доходы до 2 млн евро — и начинающие деятельность, с исключениями, напр. для компаний из преобразований) либо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19%</w:t>
      </w:r>
      <w:r>
        <w:rPr>
          <w:rFonts w:ascii="Calibri" w:cs="Calibri" w:eastAsia="Calibri" w:hAnsi="Calibri"/>
          <w:sz w:val="21"/>
          <w:szCs w:val="21"/>
        </w:rPr>
        <w:t xml:space="preserve">. Ежемесячные/квартальные авансы платит бухгалтерия; годовую декларацию CIT-8 подают до конца 3-го месяца после окончания налогового года. Стоит рассмотреть эстонский CIT (ryczałt od dochodów spółek) — налога нет до момента выплаты прибыли; выбор возможен и с начала деятельности (уведомление ZAW-RD).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Бухгалтерия / правление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Авансы: до 20-го числа месяца; CIT-8: 3 месяца после налогового года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19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Финансовая отчётность и годовое собрание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Ежегодно: составление электронной финансовой отчётности в срок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3 месяца</w:t>
      </w:r>
      <w:r>
        <w:rPr>
          <w:rFonts w:ascii="Calibri" w:cs="Calibri" w:eastAsia="Calibri" w:hAnsi="Calibri"/>
          <w:sz w:val="21"/>
          <w:szCs w:val="21"/>
        </w:rPr>
        <w:t xml:space="preserve"> от балансовой даты (подписывают правление + лицо, ведущее книги), утверждение очередным собранием участников в срок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6 месяцев</w:t>
      </w:r>
      <w:r>
        <w:rPr>
          <w:rFonts w:ascii="Calibri" w:cs="Calibri" w:eastAsia="Calibri" w:hAnsi="Calibri"/>
          <w:sz w:val="21"/>
          <w:szCs w:val="21"/>
        </w:rPr>
        <w:t xml:space="preserve"> от балансовой даты (при годе = календарному: до 30 июня), подача в Репозиторий финансовых документов KRS в срок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15 дней</w:t>
      </w:r>
      <w:r>
        <w:rPr>
          <w:rFonts w:ascii="Calibri" w:cs="Calibri" w:eastAsia="Calibri" w:hAnsi="Calibri"/>
          <w:sz w:val="21"/>
          <w:szCs w:val="21"/>
        </w:rPr>
        <w:t xml:space="preserve"> от утверждения. Первый отчётный год может быть удлинён, если компания создана во второй половине года и так предусматривает договор.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3000"/>
        <w:gridCol w:w="3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 делает</w:t>
            </w:r>
          </w:p>
        </w:tc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3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применяется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 + участники</w:t>
            </w:r>
          </w:p>
        </w:tc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Циклически, каждый год</w:t>
            </w:r>
          </w:p>
        </w:tc>
        <w:tc>
          <w:tcPr>
            <w:tcW w:type="dxa" w:w="3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</w:t>
            </w:r>
          </w:p>
        </w:tc>
      </w:tr>
    </w:tbl>
    <w:p>
      <w:pPr>
        <w:spacing w:after="120" w:before="28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  <w:shd w:fill="1F3A5F" w:val="clear"/>
        </w:rPr>
        <w:t xml:space="preserve"> ШАГ 20 </w:t>
      </w: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  Постоянные обязанности правления и участников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Правление: </w:t>
      </w:r>
      <w:r>
        <w:rPr>
          <w:rFonts w:ascii="Calibri" w:cs="Calibri" w:eastAsia="Calibri" w:hAnsi="Calibri"/>
          <w:sz w:val="20"/>
          <w:szCs w:val="20"/>
        </w:rPr>
        <w:t xml:space="preserve">ведение дел и представительство; подача изменений в KRS в срок 7 дней (адрес, правление, участники, PKD — при смене правления в компании, всё ещё работающей через S24, система сама сформирует решение на подпись; для новой кандидатуры нужно только приложить её собственные документы 1 и 2 из этого пакета); актуализация CRBR за 14 дней; обязанность подать заявление о банкротстве в 30 дней от неплатёжеспособности — под угрозой личной ответственности по долгам компании (art. 299 KSH); запрет конкурентной деятельности без согласия компании (art. 211 KSH); договоры компании с членом правления заключает поверенный, назначенный решением участников (art. 210 KSH).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Участники: </w:t>
      </w:r>
      <w:r>
        <w:rPr>
          <w:rFonts w:ascii="Calibri" w:cs="Calibri" w:eastAsia="Calibri" w:hAnsi="Calibri"/>
          <w:sz w:val="20"/>
          <w:szCs w:val="20"/>
        </w:rPr>
        <w:t xml:space="preserve">проведение очередного собрания в срок 6 месяцев после отчётного года (утверждение отчётности, распределение прибыли, absolutorium); актуализация данных при продаже долей (новый список участников в KRS, обновление CRBR); дополнительные взносы (dopłaty) — только если предусмотрены договором.</w:t>
      </w: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Сводная таблица сроков после регистрации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420"/>
        <w:gridCol w:w="2600"/>
        <w:gridCol w:w="2500"/>
        <w:gridCol w:w="1700"/>
        <w:gridCol w:w="2418"/>
      </w:tblGrid>
      <w:tr>
        <w:trPr>
          <w:tblHeader/>
        </w:trPr>
        <w:tc>
          <w:tcPr>
            <w:tcW w:type="dxa" w:w="42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6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Действие</w:t>
            </w:r>
          </w:p>
        </w:tc>
        <w:tc>
          <w:tcPr>
            <w:tcW w:type="dxa" w:w="25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Срок</w:t>
            </w:r>
          </w:p>
        </w:tc>
        <w:tc>
          <w:tcPr>
            <w:tcW w:type="dxa" w:w="17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Кто</w:t>
            </w:r>
          </w:p>
        </w:tc>
        <w:tc>
          <w:tcPr>
            <w:tcW w:type="dxa" w:w="241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Санкция / последствие бездействия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2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PCC-3 + уплата 0,5%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14 дней от заключения договора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</w:t>
            </w:r>
          </w:p>
        </w:tc>
        <w:tc>
          <w:tcPr>
            <w:tcW w:type="dxa" w:w="24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Пени, налогово-уголовная ответственность</w:t>
            </w:r>
          </w:p>
        </w:tc>
      </w:tr>
      <w:tr>
        <w:tc>
          <w:tcPr>
            <w:tcW w:type="dxa" w:w="42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2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Вклады + заявление (если после регистрации)</w:t>
            </w:r>
          </w:p>
        </w:tc>
        <w:tc>
          <w:tcPr>
            <w:tcW w:type="dxa" w:w="2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 дней от внесения</w:t>
            </w:r>
          </w:p>
        </w:tc>
        <w:tc>
          <w:tcPr>
            <w:tcW w:type="dxa" w:w="1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Участники + правление</w:t>
            </w:r>
          </w:p>
        </w:tc>
        <w:tc>
          <w:tcPr>
            <w:tcW w:type="dxa" w:w="24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Принудительный штраф, ответственность правления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2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CRBR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14 рабочих дней от внесения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Член правления лично</w:t>
            </w:r>
          </w:p>
        </w:tc>
        <w:tc>
          <w:tcPr>
            <w:tcW w:type="dxa" w:w="24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Штраф до 1 000 000 zł</w:t>
            </w:r>
          </w:p>
        </w:tc>
      </w:tr>
      <w:tr>
        <w:tc>
          <w:tcPr>
            <w:tcW w:type="dxa" w:w="42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dxa" w:w="2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e-Doręczenia (ADE)</w:t>
            </w:r>
          </w:p>
        </w:tc>
        <w:tc>
          <w:tcPr>
            <w:tcW w:type="dxa" w:w="2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При регистрации / незамедлительно</w:t>
            </w:r>
          </w:p>
        </w:tc>
        <w:tc>
          <w:tcPr>
            <w:tcW w:type="dxa" w:w="1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</w:t>
            </w:r>
          </w:p>
        </w:tc>
        <w:tc>
          <w:tcPr>
            <w:tcW w:type="dxa" w:w="24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Заместительные доставки, принудительный штраф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dxa" w:w="2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Банковский счёт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Практически: до 7 дней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</w:t>
            </w:r>
          </w:p>
        </w:tc>
        <w:tc>
          <w:tcPr>
            <w:tcW w:type="dxa" w:w="24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Блокирует дальнейшие подачи (NIP-8, VAT-R)</w:t>
            </w:r>
          </w:p>
        </w:tc>
      </w:tr>
      <w:tr>
        <w:tc>
          <w:tcPr>
            <w:tcW w:type="dxa" w:w="42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2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NIP-8</w:t>
            </w:r>
          </w:p>
        </w:tc>
        <w:tc>
          <w:tcPr>
            <w:tcW w:type="dxa" w:w="2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21 день от внесения (7 дней если плательщик ZUS)</w:t>
            </w:r>
          </w:p>
        </w:tc>
        <w:tc>
          <w:tcPr>
            <w:tcW w:type="dxa" w:w="1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 / бухгалтерия</w:t>
            </w:r>
          </w:p>
        </w:tc>
        <w:tc>
          <w:tcPr>
            <w:tcW w:type="dxa" w:w="24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Счёт вне белого списка, проблемы с контрагентами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</w:t>
            </w:r>
          </w:p>
        </w:tc>
        <w:tc>
          <w:tcPr>
            <w:tcW w:type="dxa" w:w="2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VAT-R (+ NIP-UE)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До первой облагаемой операции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 / бухгалтерия</w:t>
            </w:r>
          </w:p>
        </w:tc>
        <w:tc>
          <w:tcPr>
            <w:tcW w:type="dxa" w:w="24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Нет права на вычеты, санкции VAT</w:t>
            </w:r>
          </w:p>
        </w:tc>
      </w:tr>
      <w:tr>
        <w:tc>
          <w:tcPr>
            <w:tcW w:type="dxa" w:w="42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</w:t>
            </w:r>
          </w:p>
        </w:tc>
        <w:tc>
          <w:tcPr>
            <w:tcW w:type="dxa" w:w="2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KSeF — доступы и интеграция</w:t>
            </w:r>
          </w:p>
        </w:tc>
        <w:tc>
          <w:tcPr>
            <w:tcW w:type="dxa" w:w="2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До первой фактуры</w:t>
            </w:r>
          </w:p>
        </w:tc>
        <w:tc>
          <w:tcPr>
            <w:tcW w:type="dxa" w:w="1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 + бухгалтерия</w:t>
            </w:r>
          </w:p>
        </w:tc>
        <w:tc>
          <w:tcPr>
            <w:tcW w:type="dxa" w:w="24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Штрафы за фактуры вне KSeF (после переходных периодов)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</w:t>
            </w:r>
          </w:p>
        </w:tc>
        <w:tc>
          <w:tcPr>
            <w:tcW w:type="dxa" w:w="2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ZUS (ZUA/ZZA)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 дней от возникновения основания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Компания / участник</w:t>
            </w:r>
          </w:p>
        </w:tc>
        <w:tc>
          <w:tcPr>
            <w:tcW w:type="dxa" w:w="24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Задолженность по взносам с пенями</w:t>
            </w:r>
          </w:p>
        </w:tc>
      </w:tr>
      <w:tr>
        <w:tc>
          <w:tcPr>
            <w:tcW w:type="dxa" w:w="42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</w:t>
            </w:r>
          </w:p>
        </w:tc>
        <w:tc>
          <w:tcPr>
            <w:tcW w:type="dxa" w:w="2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Договор с бухгалтерией + учётная политика</w:t>
            </w:r>
          </w:p>
        </w:tc>
        <w:tc>
          <w:tcPr>
            <w:tcW w:type="dxa" w:w="2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Незамедлительно</w:t>
            </w:r>
          </w:p>
        </w:tc>
        <w:tc>
          <w:tcPr>
            <w:tcW w:type="dxa" w:w="1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</w:t>
            </w:r>
          </w:p>
        </w:tc>
        <w:tc>
          <w:tcPr>
            <w:tcW w:type="dxa" w:w="24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Ответственность за недостоверные книги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11</w:t>
            </w:r>
          </w:p>
        </w:tc>
        <w:tc>
          <w:tcPr>
            <w:tcW w:type="dxa" w:w="2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Подача изменений в KRS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 дней от изменения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</w:t>
            </w:r>
          </w:p>
        </w:tc>
        <w:tc>
          <w:tcPr>
            <w:tcW w:type="dxa" w:w="24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Принудительный штраф, ответственность</w:t>
            </w:r>
          </w:p>
        </w:tc>
      </w:tr>
      <w:tr>
        <w:tc>
          <w:tcPr>
            <w:tcW w:type="dxa" w:w="42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</w:t>
            </w:r>
          </w:p>
        </w:tc>
        <w:tc>
          <w:tcPr>
            <w:tcW w:type="dxa" w:w="2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Финансовая отчётность</w:t>
            </w:r>
          </w:p>
        </w:tc>
        <w:tc>
          <w:tcPr>
            <w:tcW w:type="dxa" w:w="2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мес. составление / 6 мес. утверждение / 15 дней подача</w:t>
            </w:r>
          </w:p>
        </w:tc>
        <w:tc>
          <w:tcPr>
            <w:tcW w:type="dxa" w:w="1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Правление + участники</w:t>
            </w:r>
          </w:p>
        </w:tc>
        <w:tc>
          <w:tcPr>
            <w:tcW w:type="dxa" w:w="24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Штраф, принудительное производство, вплоть до роспуска компании</w:t>
            </w:r>
          </w:p>
        </w:tc>
      </w:tr>
    </w:tbl>
    <w:p>
      <w:pPr>
        <w:spacing w:after="16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10 самых частых ошибок при регистрации — итог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Убеждение, что список участников и заявление о капитале нужно готовить отдельно в Word — S24 генерирует их автоматически из данных договора, нужно лишь подписать в системе.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Срок PCC-3 считают от внесения в KRS вместо дня заключения договора компании.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Пропуск подачи CRBR либо регистрация только участника-президента при структуре 50/50 (регистрируется каждый с долей свыше 25%).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Заявление о вкладах подписано только частью правления.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Нет списка адресов участников, уполномоченных назначать правление (документ 3) — очень частая причина вызова из суда.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Нет аккаунта в S24 или электронной подписи у участника вне правления — а он обязан подписать договор компании.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Ориентир на устаревшую сумму сборов «350 zł» — с 29.11.2025 регистрационный сбор в S24 составляет 250 zł.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Указание адреса для корреспонденции, по которому никто не получает почту — судебная корреспонденция считается доставленной.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Затягивание с NIP-8 и счётом — компания без счёта в белом списке не вызывает доверия у контрагентов.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Забывают, что sp. z o.o. ведёт полные книги с первого дня — документы периода «до бухгалтера» теряются.</w:t>
      </w:r>
    </w:p>
    <w:p>
      <w:pPr>
        <w:spacing w:after="160"/>
      </w:pPr>
    </w:p>
    <w:tbl>
      <w:tblPr>
        <w:tblW w:type="dxa" w:w="9638"/>
        <w:tblBorders>
          <w:top w:val="single" w:color="E0A800" w:sz="4"/>
          <w:left w:val="single" w:color="E0A800" w:sz="24"/>
          <w:bottom w:val="single" w:color="E0A800" w:sz="4"/>
          <w:right w:val="single" w:color="E0A800" w:sz="4"/>
          <w:insideH w:val="none"/>
          <w:insideV w:val="none"/>
        </w:tblBorders>
        <w:tblLayout w:type="fixed"/>
      </w:tblPr>
      <w:tblGrid>
        <w:gridCol w:w="9638"/>
      </w:tblGrid>
      <w:tr>
        <w:tc>
          <w:tcPr>
            <w:tcW w:type="dxa" w:w="9638"/>
            <w:shd w:fill="FFF6E5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20"/>
                <w:szCs w:val="20"/>
              </w:rPr>
              <w:t xml:space="preserve">В ЗАКЛЮЧЕНИЕ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Настоящий гайд носит информационный характер и описывает правовое состояние на июль 2026 г. Налоговые нормы часто меняются — перед принятием решений подтвердите актуальность сроков и ставок. 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Finansowy Flex — Biuro Rachunkowe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· регистрация компаний, полная бухгалтерия, консультации · 798 431 609 · biuro@finansowyflex.pl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6E3" w:sz="4"/>
      </w:pBdr>
      <w:tabs>
        <w:tab w:val="right" w:pos="9638"/>
      </w:tabs>
      <w:spacing w:after="0" w:before="60"/>
    </w:pPr>
    <w:r>
      <w:rPr>
        <w:rFonts w:ascii="Calibri" w:cs="Calibri" w:eastAsia="Calibri" w:hAnsi="Calibri"/>
        <w:color w:val="6B7280"/>
        <w:sz w:val="15"/>
        <w:szCs w:val="15"/>
      </w:rPr>
      <w:t xml:space="preserve">Finansowy Flex — Biuro Rachunkowe  |  wzór dokumentu, stan prawny: lipiec 2026</w:t>
    </w:r>
    <w:r>
      <w:rPr>
        <w:rFonts w:ascii="Calibri" w:cs="Calibri" w:eastAsia="Calibri" w:hAnsi="Calibri"/>
        <w:color w:val="6B7280"/>
        <w:sz w:val="15"/>
        <w:szCs w:val="15"/>
      </w:rPr>
      <w:t xml:space="preserve">	</w:t>
      <w:t xml:space="preserve">str.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00B3A4" w:sz="12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3600"/>
      <w:gridCol w:w="4238"/>
      <w:gridCol w:w="1800"/>
    </w:tblGrid>
    <w:tr>
      <w:tc>
        <w:tcPr>
          <w:tcW w:type="dxa" w:w="3600"/>
          <w:tcMar>
            <w:top w:type="dxa" w:w="40"/>
            <w:left w:type="dxa" w:w="0"/>
            <w:bottom w:type="dxa" w:w="80"/>
            <w:right w:type="dxa" w:w="0"/>
          </w:tcMar>
        </w:tcPr>
        <w:p>
          <w:pPr>
            <w:spacing w:after="0"/>
          </w:pPr>
          <w:r>
            <w:rPr>
              <w:rFonts w:ascii="Calibri" w:cs="Calibri" w:eastAsia="Calibri" w:hAnsi="Calibri"/>
              <w:b/>
              <w:bCs/>
              <w:color w:val="1F3A5F"/>
              <w:sz w:val="26"/>
              <w:szCs w:val="26"/>
            </w:rPr>
            <w:t xml:space="preserve">FINANSOWY FLEX</w:t>
          </w:r>
          <w:r>
            <w:rPr>
              <w:rFonts w:ascii="Calibri" w:cs="Calibri" w:eastAsia="Calibri" w:hAnsi="Calibri"/>
              <w:sz w:val="21"/>
              <w:szCs w:val="21"/>
            </w:rPr>
            <w:t xml:space="preserve">  </w:t>
          </w:r>
          <w:r>
            <w:rPr>
              <w:rFonts w:ascii="Calibri" w:cs="Calibri" w:eastAsia="Calibri" w:hAnsi="Calibri"/>
              <w:color w:val="00B3A4"/>
              <w:sz w:val="22"/>
              <w:szCs w:val="22"/>
            </w:rPr>
            <w:t xml:space="preserve">■</w:t>
          </w:r>
        </w:p>
        <w:p>
          <w:pPr>
            <w:spacing w:after="0"/>
          </w:pPr>
          <w:r>
            <w:rPr>
              <w:rFonts w:ascii="Calibri" w:cs="Calibri" w:eastAsia="Calibri" w:hAnsi="Calibri"/>
              <w:color w:val="6B7280"/>
              <w:spacing w:val="30"/>
              <w:sz w:val="15"/>
              <w:szCs w:val="15"/>
            </w:rPr>
            <w:t xml:space="preserve">BIURO RACHUNKOWE</w:t>
          </w:r>
        </w:p>
      </w:tc>
      <w:tc>
        <w:tcPr>
          <w:tcW w:type="dxa" w:w="4238"/>
          <w:tcMar>
            <w:top w:type="dxa" w:w="40"/>
            <w:left w:type="dxa" w:w="0"/>
            <w:bottom w:type="dxa" w:w="80"/>
            <w:right w:type="dxa" w:w="0"/>
          </w:tcMar>
          <w:vAlign w:val="center"/>
        </w:tcPr>
        <w:p>
          <w:pPr>
            <w:spacing w:after="0"/>
            <w:jc w:val="center"/>
          </w:pPr>
          <w:r>
            <w:rPr>
              <w:rFonts w:ascii="Calibri" w:cs="Calibri" w:eastAsia="Calibri" w:hAnsi="Calibri"/>
              <w:b/>
              <w:bCs/>
              <w:color w:val="1F3A5F"/>
              <w:sz w:val="17"/>
              <w:szCs w:val="17"/>
            </w:rPr>
            <w:t xml:space="preserve">PAKIET REJESTRACYJNY SPÓŁKI Z O.O.</w:t>
          </w:r>
        </w:p>
        <w:p>
          <w:pPr>
            <w:spacing w:after="0"/>
            <w:jc w:val="center"/>
          </w:pPr>
          <w:r>
            <w:rPr>
              <w:rFonts w:ascii="Calibri" w:cs="Calibri" w:eastAsia="Calibri" w:hAnsi="Calibri"/>
              <w:color w:val="6B7280"/>
              <w:sz w:val="15"/>
              <w:szCs w:val="15"/>
            </w:rPr>
            <w:t xml:space="preserve">Регистрация spółki z o.o. шаг за шагом</w:t>
          </w:r>
        </w:p>
      </w:tc>
      <w:tc>
        <w:tcPr>
          <w:tcW w:type="dxa" w:w="1800"/>
          <w:tcMar>
            <w:top w:type="dxa" w:w="40"/>
            <w:left w:type="dxa" w:w="0"/>
            <w:bottom w:type="dxa" w:w="80"/>
            <w:right w:type="dxa" w:w="0"/>
          </w:tcMar>
          <w:vAlign w:val="center"/>
        </w:tcPr>
        <w:p>
          <w:pPr>
            <w:spacing w:after="0"/>
            <w:jc w:val="right"/>
          </w:pPr>
          <w:r>
            <w:rPr>
              <w:rFonts w:ascii="Calibri" w:cs="Calibri" w:eastAsia="Calibri" w:hAnsi="Calibri"/>
              <w:b/>
              <w:bCs/>
              <w:color w:val="00B3A4"/>
              <w:sz w:val="19"/>
              <w:szCs w:val="19"/>
            </w:rPr>
            <w:t xml:space="preserve">09/ГАЙД · RU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  <w:rPr>
        <w:color w:val="00B3A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2026-08-29T22:01:42.058Z</dcterms:created>
  <dcterms:modified xsi:type="dcterms:W3CDTF">2026-08-29T22:01:42.058Z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